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2517BF" w:rsidRDefault="0055463E" w:rsidP="000243BD">
      <w:pPr>
        <w:rPr>
          <w:b/>
          <w:bCs/>
        </w:rPr>
      </w:pPr>
      <w:bookmarkStart w:id="0" w:name="_GoBack"/>
      <w:bookmarkEnd w:id="0"/>
      <w:r w:rsidRPr="002517BF">
        <w:rPr>
          <w:b/>
          <w:bCs/>
        </w:rPr>
        <w:t>Lesson Plan</w:t>
      </w:r>
    </w:p>
    <w:p w:rsidR="0055463E" w:rsidRPr="002517BF" w:rsidRDefault="0055463E" w:rsidP="0055463E">
      <w:pPr>
        <w:jc w:val="center"/>
      </w:pPr>
    </w:p>
    <w:p w:rsidR="009E4B06" w:rsidRPr="002517BF" w:rsidRDefault="0055463E" w:rsidP="0055463E">
      <w:pPr>
        <w:rPr>
          <w:b/>
        </w:rPr>
      </w:pPr>
      <w:r w:rsidRPr="002517BF">
        <w:rPr>
          <w:b/>
        </w:rPr>
        <w:t xml:space="preserve">Instructor: </w:t>
      </w:r>
      <w:r w:rsidR="00390D93" w:rsidRPr="002517BF">
        <w:t>Samantha Hardie</w:t>
      </w:r>
      <w:r w:rsidR="009E4B06" w:rsidRPr="002517BF">
        <w:rPr>
          <w:b/>
        </w:rPr>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2517BF" w:rsidTr="009E4B06">
        <w:trPr>
          <w:trHeight w:val="176"/>
        </w:trPr>
        <w:tc>
          <w:tcPr>
            <w:tcW w:w="8177" w:type="dxa"/>
            <w:shd w:val="clear" w:color="auto" w:fill="auto"/>
          </w:tcPr>
          <w:p w:rsidR="009E4B06" w:rsidRPr="002517BF" w:rsidRDefault="009E4B06" w:rsidP="009E4B06">
            <w:r w:rsidRPr="002517BF">
              <w:rPr>
                <w:b/>
              </w:rPr>
              <w:t>Lesson Objective/s:</w:t>
            </w:r>
            <w:r w:rsidR="00EA7CAD" w:rsidRPr="002517BF">
              <w:rPr>
                <w:b/>
              </w:rPr>
              <w:t xml:space="preserve"> </w:t>
            </w:r>
            <w:r w:rsidR="00EA7CAD" w:rsidRPr="002517BF">
              <w:t>To learn new vocabulary words, to practice putting together an argument, to review proper usage of adjectives.</w:t>
            </w:r>
          </w:p>
        </w:tc>
      </w:tr>
      <w:tr w:rsidR="009E4B06" w:rsidRPr="002517BF" w:rsidTr="009E4B06">
        <w:trPr>
          <w:trHeight w:val="190"/>
        </w:trPr>
        <w:tc>
          <w:tcPr>
            <w:tcW w:w="8177" w:type="dxa"/>
            <w:shd w:val="clear" w:color="auto" w:fill="auto"/>
          </w:tcPr>
          <w:p w:rsidR="009E4B06" w:rsidRPr="002517BF" w:rsidRDefault="009E4B06" w:rsidP="009E4B06">
            <w:pPr>
              <w:rPr>
                <w:b/>
              </w:rPr>
            </w:pPr>
            <w:r w:rsidRPr="002517BF">
              <w:rPr>
                <w:b/>
              </w:rPr>
              <w:t>State Standard</w:t>
            </w:r>
            <w:r w:rsidR="00D00D5A" w:rsidRPr="002517BF">
              <w:rPr>
                <w:b/>
              </w:rPr>
              <w:t>/</w:t>
            </w:r>
            <w:r w:rsidRPr="002517BF">
              <w:rPr>
                <w:b/>
              </w:rPr>
              <w:t>s:</w:t>
            </w:r>
          </w:p>
          <w:p w:rsidR="00EA7CAD" w:rsidRPr="002517BF" w:rsidRDefault="00EA7CAD" w:rsidP="009E4B06">
            <w:r w:rsidRPr="002517BF">
              <w:t>CCSS.ELA-Literacy.W.11-12.1 Write arguments to support claims in an analysis of substantive topics or texts, using valid reasoning and relevant and sufficient evidence.</w:t>
            </w:r>
          </w:p>
          <w:p w:rsidR="00EA7CAD" w:rsidRPr="002517BF" w:rsidRDefault="00EA7CAD" w:rsidP="009E4B06">
            <w:r w:rsidRPr="002517BF">
              <w:t>CCSS.ELA-Literacy.W.11-12.9 Draw evidence from literary or informational texts to support analysis, reflection, and research.</w:t>
            </w:r>
          </w:p>
          <w:p w:rsidR="00EA7CAD" w:rsidRPr="002517BF" w:rsidRDefault="00EA7CAD" w:rsidP="009E4B06">
            <w:pPr>
              <w:rPr>
                <w:b/>
              </w:rPr>
            </w:pPr>
            <w:r w:rsidRPr="002517BF">
              <w:t>CCSS.ELA-Literacy.W.11-12.1c Use words, phrases, and clauses as well as varied syntax to link the major sections of the text, create cohesion, and clarify the relationships between claim(s) and reasons, between reasons and evidence, and between claim(s) and counterclaims.</w:t>
            </w:r>
          </w:p>
        </w:tc>
      </w:tr>
      <w:tr w:rsidR="009E4B06" w:rsidRPr="002517BF" w:rsidTr="009E4B06">
        <w:trPr>
          <w:trHeight w:val="176"/>
        </w:trPr>
        <w:tc>
          <w:tcPr>
            <w:tcW w:w="8177" w:type="dxa"/>
            <w:shd w:val="clear" w:color="auto" w:fill="auto"/>
          </w:tcPr>
          <w:p w:rsidR="009E4B06" w:rsidRPr="002517BF" w:rsidRDefault="009E4B06" w:rsidP="009E4B06">
            <w:pPr>
              <w:rPr>
                <w:b/>
              </w:rPr>
            </w:pPr>
            <w:r w:rsidRPr="002517BF">
              <w:rPr>
                <w:b/>
              </w:rPr>
              <w:t>ELD Standard/s</w:t>
            </w:r>
          </w:p>
        </w:tc>
      </w:tr>
      <w:tr w:rsidR="009E4B06" w:rsidRPr="002517BF" w:rsidTr="009E4B06">
        <w:trPr>
          <w:trHeight w:val="190"/>
        </w:trPr>
        <w:tc>
          <w:tcPr>
            <w:tcW w:w="8177" w:type="dxa"/>
            <w:shd w:val="clear" w:color="auto" w:fill="auto"/>
          </w:tcPr>
          <w:p w:rsidR="009E4B06" w:rsidRPr="002517BF" w:rsidRDefault="009E4B06" w:rsidP="009E4B06">
            <w:r w:rsidRPr="002517BF">
              <w:rPr>
                <w:b/>
              </w:rPr>
              <w:t>Formative Assessment</w:t>
            </w:r>
            <w:r w:rsidR="00D00D5A" w:rsidRPr="002517BF">
              <w:rPr>
                <w:b/>
              </w:rPr>
              <w:t>/s</w:t>
            </w:r>
            <w:r w:rsidRPr="002517BF">
              <w:rPr>
                <w:b/>
              </w:rPr>
              <w:t>:</w:t>
            </w:r>
            <w:r w:rsidR="00EA7CAD" w:rsidRPr="002517BF">
              <w:rPr>
                <w:b/>
              </w:rPr>
              <w:t xml:space="preserve"> </w:t>
            </w:r>
            <w:r w:rsidR="00EA7CAD" w:rsidRPr="002517BF">
              <w:t>Checks for understanding, answering questions during the discussions</w:t>
            </w:r>
          </w:p>
        </w:tc>
      </w:tr>
      <w:tr w:rsidR="009E4B06" w:rsidRPr="002517BF" w:rsidTr="009E4B06">
        <w:trPr>
          <w:trHeight w:val="190"/>
        </w:trPr>
        <w:tc>
          <w:tcPr>
            <w:tcW w:w="8177" w:type="dxa"/>
            <w:shd w:val="clear" w:color="auto" w:fill="auto"/>
          </w:tcPr>
          <w:p w:rsidR="009E4B06" w:rsidRPr="002517BF" w:rsidRDefault="009E4B06" w:rsidP="009E4B06">
            <w:r w:rsidRPr="002517BF">
              <w:rPr>
                <w:b/>
              </w:rPr>
              <w:t xml:space="preserve">Summative Assessment/s: </w:t>
            </w:r>
            <w:r w:rsidR="00EA7CAD" w:rsidRPr="002517BF">
              <w:t>Students will turn in and be assessed on the vocabulary word they completed a worksheet for, the clarity of the argument made in relation to the writing prompt, and the sentences they come up with using adjectives properly.</w:t>
            </w:r>
          </w:p>
        </w:tc>
      </w:tr>
    </w:tbl>
    <w:p w:rsidR="0055463E" w:rsidRPr="002517BF" w:rsidRDefault="0055463E" w:rsidP="0055463E">
      <w:pPr>
        <w:rPr>
          <w:b/>
        </w:rPr>
      </w:pPr>
    </w:p>
    <w:p w:rsidR="00390D93" w:rsidRPr="002517BF" w:rsidRDefault="0055463E" w:rsidP="0055463E">
      <w:r w:rsidRPr="002517BF">
        <w:rPr>
          <w:b/>
        </w:rPr>
        <w:t xml:space="preserve">Topic:  </w:t>
      </w:r>
      <w:r w:rsidR="00390D93" w:rsidRPr="002517BF">
        <w:rPr>
          <w:i/>
        </w:rPr>
        <w:t xml:space="preserve">The Night Circus </w:t>
      </w:r>
      <w:r w:rsidR="00390D93" w:rsidRPr="002517BF">
        <w:t>Day 19-Part III to Bookkeeping</w:t>
      </w:r>
    </w:p>
    <w:p w:rsidR="0055463E" w:rsidRPr="002517BF" w:rsidRDefault="0055463E" w:rsidP="0055463E">
      <w:pPr>
        <w:rPr>
          <w:b/>
        </w:rPr>
      </w:pPr>
      <w:r w:rsidRPr="002517BF">
        <w:rPr>
          <w:b/>
        </w:rPr>
        <w:t xml:space="preserve">Subject: </w:t>
      </w:r>
      <w:r w:rsidR="00390D93" w:rsidRPr="002517BF">
        <w:t>English</w:t>
      </w:r>
    </w:p>
    <w:p w:rsidR="0055463E" w:rsidRPr="002517BF" w:rsidRDefault="0055463E" w:rsidP="0055463E">
      <w:pPr>
        <w:rPr>
          <w:b/>
        </w:rPr>
      </w:pPr>
      <w:r w:rsidRPr="002517BF">
        <w:rPr>
          <w:b/>
        </w:rPr>
        <w:t xml:space="preserve">Check box if part of a larger unit:   </w:t>
      </w:r>
      <w:r w:rsidR="00390D93" w:rsidRPr="002517BF">
        <w:t>X</w:t>
      </w:r>
    </w:p>
    <w:p w:rsidR="0055463E" w:rsidRPr="002517BF" w:rsidRDefault="0055463E" w:rsidP="0055463E">
      <w:pPr>
        <w:rPr>
          <w:b/>
        </w:rPr>
      </w:pPr>
      <w:r w:rsidRPr="002517BF">
        <w:rPr>
          <w:b/>
        </w:rPr>
        <w:t>Where does the lesson fit in: Begin</w:t>
      </w:r>
      <w:r w:rsidR="00390D93" w:rsidRPr="002517BF">
        <w:rPr>
          <w:b/>
        </w:rPr>
        <w:t xml:space="preserve"> </w:t>
      </w:r>
      <w:r w:rsidR="00390D93" w:rsidRPr="002517BF">
        <w:t>X</w:t>
      </w:r>
      <w:r w:rsidRPr="002517BF">
        <w:rPr>
          <w:b/>
        </w:rPr>
        <w:t xml:space="preserve"> Middle </w:t>
      </w:r>
      <w:proofErr w:type="gramStart"/>
      <w:r w:rsidR="00390D93" w:rsidRPr="002517BF">
        <w:t>X</w:t>
      </w:r>
      <w:r w:rsidRPr="002517BF">
        <w:rPr>
          <w:b/>
        </w:rPr>
        <w:t xml:space="preserve">  End</w:t>
      </w:r>
      <w:proofErr w:type="gramEnd"/>
      <w:r w:rsidRPr="002517BF">
        <w:rPr>
          <w:b/>
        </w:rPr>
        <w:t xml:space="preserve"> </w:t>
      </w:r>
      <w:r w:rsidR="00390D93" w:rsidRPr="002517BF">
        <w:t>X</w:t>
      </w:r>
    </w:p>
    <w:p w:rsidR="00390D93" w:rsidRPr="002517BF" w:rsidRDefault="0055463E" w:rsidP="0055463E">
      <w:r w:rsidRPr="002517BF">
        <w:rPr>
          <w:b/>
        </w:rPr>
        <w:t xml:space="preserve">Duration of Lesson: </w:t>
      </w:r>
      <w:r w:rsidR="00390D93" w:rsidRPr="002517BF">
        <w:t>50 Minutes</w:t>
      </w:r>
    </w:p>
    <w:p w:rsidR="0055463E" w:rsidRPr="002517BF" w:rsidRDefault="0055463E" w:rsidP="0055463E">
      <w:r w:rsidRPr="002517BF">
        <w:rPr>
          <w:b/>
        </w:rPr>
        <w:t>Grade</w:t>
      </w:r>
      <w:r w:rsidR="00390D93" w:rsidRPr="002517BF">
        <w:rPr>
          <w:b/>
        </w:rPr>
        <w:t xml:space="preserve">: </w:t>
      </w:r>
      <w:r w:rsidR="00390D93" w:rsidRPr="002517BF">
        <w:t xml:space="preserve"> 12</w:t>
      </w:r>
    </w:p>
    <w:p w:rsidR="0055463E" w:rsidRPr="002517BF" w:rsidRDefault="0055463E" w:rsidP="0055463E">
      <w:pPr>
        <w:rPr>
          <w:b/>
        </w:rPr>
      </w:pPr>
      <w:r w:rsidRPr="002517BF">
        <w:rPr>
          <w:b/>
        </w:rPr>
        <w:t>Other adult involved in instruction:   (Check appropriate)</w:t>
      </w:r>
    </w:p>
    <w:p w:rsidR="0055463E" w:rsidRPr="002517BF" w:rsidRDefault="00E0611D" w:rsidP="0055463E">
      <w:pPr>
        <w:rPr>
          <w:b/>
        </w:rPr>
      </w:pPr>
      <w:r w:rsidRPr="002517BF">
        <w:rPr>
          <w:b/>
        </w:rPr>
        <w:tab/>
      </w:r>
      <w:proofErr w:type="spellStart"/>
      <w:r w:rsidR="0055463E" w:rsidRPr="002517BF">
        <w:rPr>
          <w:b/>
        </w:rPr>
        <w:t>Paraeducator</w:t>
      </w:r>
      <w:proofErr w:type="spellEnd"/>
      <w:r w:rsidR="0055463E" w:rsidRPr="002517BF">
        <w:rPr>
          <w:b/>
        </w:rPr>
        <w:t xml:space="preserve"> </w:t>
      </w:r>
      <w:r w:rsidRPr="002517BF">
        <w:rPr>
          <w:b/>
        </w:rPr>
        <w:t>____</w:t>
      </w:r>
      <w:r w:rsidR="0055463E" w:rsidRPr="002517BF">
        <w:rPr>
          <w:b/>
        </w:rPr>
        <w:t xml:space="preserve"> co-teacher_______ volunteer _____</w:t>
      </w:r>
    </w:p>
    <w:p w:rsidR="0055463E" w:rsidRPr="002517BF" w:rsidRDefault="0055463E" w:rsidP="0055463E"/>
    <w:p w:rsidR="00EA7CAD" w:rsidRPr="002517BF" w:rsidRDefault="00EA7CAD" w:rsidP="0055463E"/>
    <w:p w:rsidR="00EA7CAD" w:rsidRPr="002517BF" w:rsidRDefault="00EA7CAD" w:rsidP="0055463E"/>
    <w:p w:rsidR="00EA7CAD" w:rsidRPr="002517BF" w:rsidRDefault="00EA7CAD" w:rsidP="0055463E"/>
    <w:p w:rsidR="00EA7CAD" w:rsidRPr="002517BF" w:rsidRDefault="00EA7CAD" w:rsidP="0055463E"/>
    <w:p w:rsidR="00EA7CAD" w:rsidRPr="002517BF" w:rsidRDefault="00EA7CAD" w:rsidP="0055463E"/>
    <w:p w:rsidR="00EA7CAD" w:rsidRPr="002517BF" w:rsidRDefault="00EA7CAD" w:rsidP="0055463E"/>
    <w:p w:rsidR="00EA7CAD" w:rsidRPr="002517BF" w:rsidRDefault="00EA7CAD" w:rsidP="0055463E"/>
    <w:p w:rsidR="00EA7CAD" w:rsidRPr="002517BF" w:rsidRDefault="00EA7CAD" w:rsidP="0055463E"/>
    <w:p w:rsidR="0055463E" w:rsidRPr="002517BF" w:rsidRDefault="00FA39F6" w:rsidP="0055463E">
      <w:pPr>
        <w:rPr>
          <w:b/>
        </w:rPr>
      </w:pPr>
      <w:r w:rsidRPr="002517BF">
        <w:rPr>
          <w:b/>
        </w:rPr>
        <w:t xml:space="preserve">Understanding Your Learners through contextual details </w:t>
      </w:r>
      <w:r w:rsidR="00637CB2" w:rsidRPr="002517BF">
        <w:rPr>
          <w:b/>
        </w:rPr>
        <w:t xml:space="preserve">  </w:t>
      </w:r>
    </w:p>
    <w:p w:rsidR="0055463E" w:rsidRPr="002517BF" w:rsidRDefault="0055463E" w:rsidP="0055463E">
      <w:r w:rsidRPr="002517BF">
        <w:t xml:space="preserve">(ELLs &amp; ELD levels, IEP/IDP, </w:t>
      </w:r>
      <w:r w:rsidR="00D00D5A" w:rsidRPr="002517BF">
        <w:t>504, GATE, Gender, Ethnicity</w:t>
      </w:r>
      <w:r w:rsidRPr="002517BF">
        <w:t>)</w:t>
      </w:r>
    </w:p>
    <w:p w:rsidR="0055463E" w:rsidRPr="002517BF"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2517BF"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2517BF" w:rsidRDefault="00FA39F6">
            <w:pPr>
              <w:rPr>
                <w:b/>
                <w:i/>
                <w:iCs/>
              </w:rPr>
            </w:pPr>
            <w:r w:rsidRPr="002517BF">
              <w:rPr>
                <w:b/>
              </w:rPr>
              <w:t>In a</w:t>
            </w:r>
            <w:r w:rsidR="00E0611D" w:rsidRPr="002517BF">
              <w:rPr>
                <w:b/>
              </w:rPr>
              <w:t xml:space="preserve"> snapshot narrative paragraph, </w:t>
            </w:r>
            <w:r w:rsidR="00D00D5A" w:rsidRPr="002517BF">
              <w:rPr>
                <w:b/>
              </w:rPr>
              <w:t>describe</w:t>
            </w:r>
            <w:r w:rsidR="0055463E" w:rsidRPr="002517BF">
              <w:rPr>
                <w:b/>
              </w:rPr>
              <w:t xml:space="preserve"> </w:t>
            </w:r>
            <w:r w:rsidRPr="002517BF">
              <w:rPr>
                <w:b/>
              </w:rPr>
              <w:t>the</w:t>
            </w:r>
            <w:r w:rsidR="0055463E" w:rsidRPr="002517BF">
              <w:rPr>
                <w:b/>
              </w:rPr>
              <w:t xml:space="preserve"> </w:t>
            </w:r>
            <w:r w:rsidRPr="002517BF">
              <w:rPr>
                <w:b/>
              </w:rPr>
              <w:t xml:space="preserve">context of the </w:t>
            </w:r>
            <w:r w:rsidR="0055463E" w:rsidRPr="002517BF">
              <w:rPr>
                <w:b/>
              </w:rPr>
              <w:t>instructional group</w:t>
            </w:r>
            <w:r w:rsidRPr="002517BF">
              <w:rPr>
                <w:b/>
              </w:rPr>
              <w:t>.</w:t>
            </w:r>
            <w:r w:rsidR="0055463E" w:rsidRPr="002517BF">
              <w:rPr>
                <w:b/>
              </w:rPr>
              <w:t xml:space="preserve"> </w:t>
            </w:r>
            <w:r w:rsidRPr="002517BF">
              <w:rPr>
                <w:b/>
              </w:rPr>
              <w:t>Describe major areas such as cultural, family structures, ELL levels. SES</w:t>
            </w:r>
            <w:r w:rsidR="00E0611D" w:rsidRPr="002517BF">
              <w:rPr>
                <w:b/>
              </w:rPr>
              <w:t>, etc.?</w:t>
            </w:r>
            <w:r w:rsidRPr="002517BF">
              <w:rPr>
                <w:b/>
              </w:rPr>
              <w:t xml:space="preserve">  What are the most important details that </w:t>
            </w:r>
            <w:r w:rsidR="00D00D5A" w:rsidRPr="002517BF">
              <w:rPr>
                <w:b/>
              </w:rPr>
              <w:t xml:space="preserve">may </w:t>
            </w:r>
            <w:r w:rsidRPr="002517BF">
              <w:rPr>
                <w:b/>
              </w:rPr>
              <w:t xml:space="preserve">inform your instruction and support your learners? </w:t>
            </w:r>
          </w:p>
          <w:p w:rsidR="0055463E" w:rsidRPr="002517BF" w:rsidRDefault="0055463E"/>
          <w:p w:rsidR="00390D93" w:rsidRPr="002517BF" w:rsidRDefault="00390D93" w:rsidP="00390D93">
            <w:r w:rsidRPr="002517BF">
              <w:rPr>
                <w:bCs/>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2517BF">
              <w:rPr>
                <w:bCs/>
              </w:rPr>
              <w:t>lexile</w:t>
            </w:r>
            <w:proofErr w:type="spellEnd"/>
            <w:r w:rsidRPr="002517BF">
              <w:rPr>
                <w:bCs/>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English Language Learners in the class.</w:t>
            </w:r>
          </w:p>
          <w:p w:rsidR="0055463E" w:rsidRPr="002517BF" w:rsidRDefault="0055463E"/>
        </w:tc>
      </w:tr>
    </w:tbl>
    <w:p w:rsidR="0055463E" w:rsidRPr="002517BF" w:rsidRDefault="0055463E" w:rsidP="0055463E">
      <w:pPr>
        <w:autoSpaceDE w:val="0"/>
        <w:autoSpaceDN w:val="0"/>
        <w:adjustRightInd w:val="0"/>
        <w:rPr>
          <w:b/>
          <w:bCs/>
        </w:rPr>
      </w:pPr>
    </w:p>
    <w:p w:rsidR="0055463E" w:rsidRPr="002517BF" w:rsidRDefault="0055463E" w:rsidP="0055463E">
      <w:pPr>
        <w:autoSpaceDE w:val="0"/>
        <w:autoSpaceDN w:val="0"/>
        <w:adjustRightInd w:val="0"/>
        <w:rPr>
          <w:b/>
          <w:bCs/>
        </w:rPr>
      </w:pPr>
    </w:p>
    <w:p w:rsidR="0055463E" w:rsidRPr="002517BF" w:rsidRDefault="0055463E" w:rsidP="0055463E">
      <w:pPr>
        <w:autoSpaceDE w:val="0"/>
        <w:autoSpaceDN w:val="0"/>
        <w:adjustRightInd w:val="0"/>
        <w:rPr>
          <w:b/>
          <w:bCs/>
        </w:rPr>
      </w:pPr>
      <w:r w:rsidRPr="002517BF">
        <w:rPr>
          <w:b/>
          <w:bCs/>
        </w:rPr>
        <w:t xml:space="preserve">IEP Goals </w:t>
      </w:r>
      <w:r w:rsidRPr="002517BF">
        <w:rPr>
          <w:bCs/>
        </w:rPr>
        <w:t>Directions: List students’ goals as they apply to this lesson.</w:t>
      </w:r>
    </w:p>
    <w:p w:rsidR="0055463E" w:rsidRPr="002517BF" w:rsidRDefault="0055463E" w:rsidP="0055463E">
      <w:pPr>
        <w:autoSpaceDE w:val="0"/>
        <w:autoSpaceDN w:val="0"/>
        <w:adjustRightInd w:val="0"/>
        <w:rPr>
          <w:bCs/>
        </w:rPr>
      </w:pPr>
      <w:r w:rsidRPr="002517BF">
        <w:rPr>
          <w:bCs/>
          <w:u w:val="single"/>
        </w:rPr>
        <w:t xml:space="preserve">Large Group/Whole Class Instruction </w:t>
      </w:r>
      <w:r w:rsidRPr="002517BF">
        <w:rPr>
          <w:bCs/>
        </w:rPr>
        <w:t xml:space="preserve">– Select 2-4 students for instructional focus. </w:t>
      </w:r>
    </w:p>
    <w:p w:rsidR="0055463E" w:rsidRPr="002517BF" w:rsidRDefault="0055463E" w:rsidP="0055463E">
      <w:pPr>
        <w:autoSpaceDE w:val="0"/>
        <w:autoSpaceDN w:val="0"/>
        <w:adjustRightInd w:val="0"/>
        <w:rPr>
          <w:bCs/>
        </w:rPr>
      </w:pPr>
      <w:r w:rsidRPr="002517BF">
        <w:rPr>
          <w:bCs/>
          <w:u w:val="single"/>
        </w:rPr>
        <w:t>Small Group / Individualized Instruction</w:t>
      </w:r>
      <w:r w:rsidRPr="002517BF">
        <w:rPr>
          <w:bCs/>
        </w:rPr>
        <w:t xml:space="preserve"> (</w:t>
      </w:r>
      <w:r w:rsidRPr="002517BF">
        <w:rPr>
          <w:bCs/>
          <w:u w:val="single"/>
        </w:rPr>
        <w:t>&lt;</w:t>
      </w:r>
      <w:r w:rsidRPr="002517BF">
        <w:rPr>
          <w:bCs/>
        </w:rPr>
        <w:t xml:space="preserve"> 5 students)</w:t>
      </w:r>
    </w:p>
    <w:p w:rsidR="0055463E" w:rsidRPr="002517BF" w:rsidRDefault="0055463E" w:rsidP="0055463E">
      <w:pPr>
        <w:autoSpaceDE w:val="0"/>
        <w:autoSpaceDN w:val="0"/>
        <w:adjustRightInd w:val="0"/>
        <w:rPr>
          <w:b/>
          <w:bCs/>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2517BF" w:rsidTr="00637CB2">
        <w:trPr>
          <w:trHeight w:val="773"/>
        </w:trPr>
        <w:tc>
          <w:tcPr>
            <w:tcW w:w="5848" w:type="dxa"/>
          </w:tcPr>
          <w:p w:rsidR="00637CB2" w:rsidRPr="002517BF" w:rsidRDefault="00637CB2" w:rsidP="0055463E">
            <w:pPr>
              <w:autoSpaceDE w:val="0"/>
              <w:autoSpaceDN w:val="0"/>
              <w:adjustRightInd w:val="0"/>
              <w:rPr>
                <w:bCs/>
              </w:rPr>
            </w:pPr>
            <w:r w:rsidRPr="002517BF">
              <w:rPr>
                <w:bCs/>
              </w:rPr>
              <w:t>Student(s)</w:t>
            </w:r>
          </w:p>
        </w:tc>
        <w:tc>
          <w:tcPr>
            <w:tcW w:w="8386" w:type="dxa"/>
          </w:tcPr>
          <w:p w:rsidR="00637CB2" w:rsidRPr="002517BF" w:rsidRDefault="00637CB2" w:rsidP="0055463E">
            <w:pPr>
              <w:autoSpaceDE w:val="0"/>
              <w:autoSpaceDN w:val="0"/>
              <w:adjustRightInd w:val="0"/>
              <w:rPr>
                <w:bCs/>
              </w:rPr>
            </w:pPr>
            <w:r w:rsidRPr="002517BF">
              <w:rPr>
                <w:bCs/>
              </w:rPr>
              <w:t>IEP Goal/Objective</w:t>
            </w:r>
          </w:p>
          <w:p w:rsidR="00637CB2" w:rsidRPr="002517BF" w:rsidRDefault="00637CB2" w:rsidP="0055463E">
            <w:pPr>
              <w:autoSpaceDE w:val="0"/>
              <w:autoSpaceDN w:val="0"/>
              <w:adjustRightInd w:val="0"/>
              <w:rPr>
                <w:bCs/>
              </w:rPr>
            </w:pPr>
            <w:r w:rsidRPr="002517BF">
              <w:rPr>
                <w:bCs/>
              </w:rPr>
              <w:t>(standards based)</w:t>
            </w:r>
          </w:p>
        </w:tc>
      </w:tr>
      <w:tr w:rsidR="00637CB2" w:rsidRPr="002517BF" w:rsidTr="00637CB2">
        <w:trPr>
          <w:trHeight w:val="277"/>
        </w:trPr>
        <w:tc>
          <w:tcPr>
            <w:tcW w:w="5848" w:type="dxa"/>
          </w:tcPr>
          <w:p w:rsidR="00637CB2" w:rsidRPr="002517BF" w:rsidRDefault="00390D93" w:rsidP="0055463E">
            <w:pPr>
              <w:autoSpaceDE w:val="0"/>
              <w:autoSpaceDN w:val="0"/>
              <w:adjustRightInd w:val="0"/>
              <w:rPr>
                <w:bCs/>
              </w:rPr>
            </w:pPr>
            <w:r w:rsidRPr="002517BF">
              <w:rPr>
                <w:bCs/>
              </w:rPr>
              <w:t>Harriet</w:t>
            </w:r>
          </w:p>
        </w:tc>
        <w:tc>
          <w:tcPr>
            <w:tcW w:w="8386" w:type="dxa"/>
          </w:tcPr>
          <w:p w:rsidR="00637CB2" w:rsidRPr="002517BF" w:rsidRDefault="00390D93" w:rsidP="0055463E">
            <w:pPr>
              <w:autoSpaceDE w:val="0"/>
              <w:autoSpaceDN w:val="0"/>
              <w:adjustRightInd w:val="0"/>
              <w:rPr>
                <w:bCs/>
              </w:rPr>
            </w:pPr>
            <w:r w:rsidRPr="002517BF">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r w:rsidR="00637CB2" w:rsidRPr="002517BF" w:rsidTr="00637CB2">
        <w:trPr>
          <w:trHeight w:val="258"/>
        </w:trPr>
        <w:tc>
          <w:tcPr>
            <w:tcW w:w="5848" w:type="dxa"/>
          </w:tcPr>
          <w:p w:rsidR="00637CB2" w:rsidRPr="002517BF" w:rsidRDefault="00390D93" w:rsidP="0055463E">
            <w:pPr>
              <w:autoSpaceDE w:val="0"/>
              <w:autoSpaceDN w:val="0"/>
              <w:adjustRightInd w:val="0"/>
              <w:rPr>
                <w:bCs/>
              </w:rPr>
            </w:pPr>
            <w:r w:rsidRPr="002517BF">
              <w:rPr>
                <w:bCs/>
              </w:rPr>
              <w:t>Doug</w:t>
            </w:r>
          </w:p>
        </w:tc>
        <w:tc>
          <w:tcPr>
            <w:tcW w:w="8386" w:type="dxa"/>
          </w:tcPr>
          <w:p w:rsidR="00637CB2" w:rsidRPr="002517BF" w:rsidRDefault="00390D93" w:rsidP="0055463E">
            <w:pPr>
              <w:autoSpaceDE w:val="0"/>
              <w:autoSpaceDN w:val="0"/>
              <w:adjustRightInd w:val="0"/>
              <w:rPr>
                <w:bCs/>
              </w:rPr>
            </w:pPr>
            <w:r w:rsidRPr="002517BF">
              <w:t xml:space="preserve">Doug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Research shows that students demonstrating problems in language skills have difficulty understanding how the sounds of speech are represented in letters, as well as, complications in developing sufficient vocabulary and language abilities to quickly connect what they read to their background knowledge. In order to improve Doug’s ability to retain definitions of vocabulary, we will practice key word activities.  Linking pictures with the parts of words will help to trigger his memory when he sees certain words.  I also plan to speak with his parents so that they can work with him at home as well.  I would also like to speak directly with Doug’s reading specialists so that we can all be on the same page in discovering the most effective route in improving his decoding skills.  In addition, providing Doug with a graphic organizer may help to improve his </w:t>
            </w:r>
            <w:proofErr w:type="spellStart"/>
            <w:r w:rsidRPr="002517BF">
              <w:t>metacognition</w:t>
            </w:r>
            <w:proofErr w:type="spellEnd"/>
            <w:r w:rsidRPr="002517BF">
              <w:t xml:space="preserve"> because it will assist him in </w:t>
            </w:r>
            <w:r w:rsidRPr="002517BF">
              <w:lastRenderedPageBreak/>
              <w:t>listening for key information and to recognize relationships between concepts.  I will also present information in a variety of ways so that Doug and I will be able to determine what works best for him.</w:t>
            </w:r>
          </w:p>
        </w:tc>
      </w:tr>
      <w:tr w:rsidR="00637CB2" w:rsidRPr="002517BF" w:rsidTr="00637CB2">
        <w:trPr>
          <w:trHeight w:val="277"/>
        </w:trPr>
        <w:tc>
          <w:tcPr>
            <w:tcW w:w="5848" w:type="dxa"/>
          </w:tcPr>
          <w:p w:rsidR="00637CB2" w:rsidRPr="002517BF" w:rsidRDefault="00637CB2" w:rsidP="0055463E">
            <w:pPr>
              <w:autoSpaceDE w:val="0"/>
              <w:autoSpaceDN w:val="0"/>
              <w:adjustRightInd w:val="0"/>
              <w:rPr>
                <w:bCs/>
              </w:rPr>
            </w:pPr>
          </w:p>
        </w:tc>
        <w:tc>
          <w:tcPr>
            <w:tcW w:w="8386" w:type="dxa"/>
          </w:tcPr>
          <w:p w:rsidR="00637CB2" w:rsidRPr="002517BF" w:rsidRDefault="00637CB2" w:rsidP="0055463E">
            <w:pPr>
              <w:autoSpaceDE w:val="0"/>
              <w:autoSpaceDN w:val="0"/>
              <w:adjustRightInd w:val="0"/>
              <w:rPr>
                <w:bCs/>
              </w:rPr>
            </w:pPr>
          </w:p>
        </w:tc>
      </w:tr>
      <w:tr w:rsidR="00637CB2" w:rsidRPr="002517BF" w:rsidTr="00637CB2">
        <w:trPr>
          <w:trHeight w:val="258"/>
        </w:trPr>
        <w:tc>
          <w:tcPr>
            <w:tcW w:w="5848" w:type="dxa"/>
          </w:tcPr>
          <w:p w:rsidR="00637CB2" w:rsidRPr="002517BF" w:rsidRDefault="00637CB2" w:rsidP="0055463E">
            <w:pPr>
              <w:autoSpaceDE w:val="0"/>
              <w:autoSpaceDN w:val="0"/>
              <w:adjustRightInd w:val="0"/>
              <w:rPr>
                <w:bCs/>
              </w:rPr>
            </w:pPr>
          </w:p>
        </w:tc>
        <w:tc>
          <w:tcPr>
            <w:tcW w:w="8386" w:type="dxa"/>
          </w:tcPr>
          <w:p w:rsidR="00637CB2" w:rsidRPr="002517BF" w:rsidRDefault="00637CB2" w:rsidP="0055463E">
            <w:pPr>
              <w:autoSpaceDE w:val="0"/>
              <w:autoSpaceDN w:val="0"/>
              <w:adjustRightInd w:val="0"/>
              <w:rPr>
                <w:bCs/>
              </w:rPr>
            </w:pPr>
          </w:p>
        </w:tc>
      </w:tr>
      <w:tr w:rsidR="00637CB2" w:rsidRPr="002517BF" w:rsidTr="00637CB2">
        <w:trPr>
          <w:trHeight w:val="277"/>
        </w:trPr>
        <w:tc>
          <w:tcPr>
            <w:tcW w:w="5848" w:type="dxa"/>
          </w:tcPr>
          <w:p w:rsidR="00637CB2" w:rsidRPr="002517BF" w:rsidRDefault="00637CB2" w:rsidP="0055463E">
            <w:pPr>
              <w:autoSpaceDE w:val="0"/>
              <w:autoSpaceDN w:val="0"/>
              <w:adjustRightInd w:val="0"/>
              <w:rPr>
                <w:bCs/>
              </w:rPr>
            </w:pPr>
          </w:p>
        </w:tc>
        <w:tc>
          <w:tcPr>
            <w:tcW w:w="8386" w:type="dxa"/>
          </w:tcPr>
          <w:p w:rsidR="00637CB2" w:rsidRPr="002517BF" w:rsidRDefault="00637CB2" w:rsidP="0055463E">
            <w:pPr>
              <w:autoSpaceDE w:val="0"/>
              <w:autoSpaceDN w:val="0"/>
              <w:adjustRightInd w:val="0"/>
              <w:rPr>
                <w:bCs/>
              </w:rPr>
            </w:pPr>
          </w:p>
        </w:tc>
      </w:tr>
    </w:tbl>
    <w:p w:rsidR="0055463E" w:rsidRPr="002517BF" w:rsidRDefault="0055463E" w:rsidP="0055463E"/>
    <w:p w:rsidR="0055463E" w:rsidRPr="002517BF" w:rsidRDefault="0055463E" w:rsidP="0055463E"/>
    <w:p w:rsidR="0055463E" w:rsidRPr="002517BF" w:rsidRDefault="0055463E" w:rsidP="0055463E">
      <w:r w:rsidRPr="002517BF">
        <w:t>LESSON PLAN &amp; PROCEDURES</w:t>
      </w:r>
    </w:p>
    <w:p w:rsidR="0055463E" w:rsidRPr="002517BF"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2517BF" w:rsidTr="00D00D5A">
        <w:tc>
          <w:tcPr>
            <w:tcW w:w="1368"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pStyle w:val="Heading1"/>
            </w:pPr>
            <w:r w:rsidRPr="002517BF">
              <w:t>Lesson Element</w:t>
            </w:r>
            <w:r w:rsidR="00D00D5A" w:rsidRPr="002517BF">
              <w:t>s</w:t>
            </w:r>
          </w:p>
          <w:p w:rsidR="00637CB2" w:rsidRPr="002517BF" w:rsidRDefault="00637CB2" w:rsidP="00D00D5A"/>
        </w:tc>
        <w:tc>
          <w:tcPr>
            <w:tcW w:w="6660"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t xml:space="preserve">Identify </w:t>
            </w:r>
            <w:r w:rsidR="00AF7781" w:rsidRPr="002517BF">
              <w:t xml:space="preserve">Formative </w:t>
            </w:r>
            <w:r w:rsidRPr="002517BF">
              <w:t>Assessment as it occurs</w:t>
            </w:r>
            <w:r w:rsidR="00AF7781" w:rsidRPr="002517BF">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Time</w:t>
            </w:r>
          </w:p>
        </w:tc>
        <w:tc>
          <w:tcPr>
            <w:tcW w:w="1530"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2517BF" w:rsidRDefault="00D00D5A" w:rsidP="00D00D5A">
            <w:pPr>
              <w:rPr>
                <w:b/>
                <w:bCs/>
              </w:rPr>
            </w:pPr>
            <w:r w:rsidRPr="002517BF">
              <w:rPr>
                <w:b/>
                <w:bCs/>
              </w:rPr>
              <w:t>What is other adult doing?</w:t>
            </w:r>
          </w:p>
          <w:p w:rsidR="00637CB2" w:rsidRPr="002517BF" w:rsidRDefault="00637CB2" w:rsidP="00D00D5A">
            <w:pPr>
              <w:rPr>
                <w:b/>
                <w:bCs/>
              </w:rPr>
            </w:pPr>
          </w:p>
        </w:tc>
        <w:tc>
          <w:tcPr>
            <w:tcW w:w="1620" w:type="dxa"/>
            <w:tcBorders>
              <w:top w:val="single" w:sz="4" w:space="0" w:color="auto"/>
              <w:left w:val="single" w:sz="4" w:space="0" w:color="auto"/>
              <w:bottom w:val="single" w:sz="4" w:space="0" w:color="auto"/>
              <w:right w:val="single" w:sz="4" w:space="0" w:color="auto"/>
            </w:tcBorders>
          </w:tcPr>
          <w:p w:rsidR="00D00D5A" w:rsidRPr="002517BF" w:rsidRDefault="00D00D5A" w:rsidP="00D00D5A">
            <w:pPr>
              <w:rPr>
                <w:b/>
                <w:bCs/>
              </w:rPr>
            </w:pPr>
            <w:r w:rsidRPr="002517BF">
              <w:rPr>
                <w:b/>
                <w:bCs/>
              </w:rPr>
              <w:t xml:space="preserve">Check </w:t>
            </w:r>
          </w:p>
          <w:p w:rsidR="00D00D5A" w:rsidRPr="002517BF" w:rsidRDefault="00D00D5A" w:rsidP="00D00D5A">
            <w:pPr>
              <w:rPr>
                <w:b/>
                <w:bCs/>
              </w:rPr>
            </w:pPr>
            <w:r w:rsidRPr="002517BF">
              <w:rPr>
                <w:b/>
                <w:bCs/>
              </w:rPr>
              <w:t xml:space="preserve">for </w:t>
            </w:r>
          </w:p>
          <w:p w:rsidR="00637CB2" w:rsidRPr="002517BF" w:rsidRDefault="00D00D5A" w:rsidP="00D00D5A">
            <w:pPr>
              <w:rPr>
                <w:b/>
                <w:bCs/>
              </w:rPr>
            </w:pPr>
            <w:r w:rsidRPr="002517BF">
              <w:rPr>
                <w:b/>
                <w:bCs/>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Materials</w:t>
            </w:r>
          </w:p>
        </w:tc>
      </w:tr>
      <w:tr w:rsidR="008D00AA" w:rsidRPr="002517BF" w:rsidTr="00D00D5A">
        <w:tc>
          <w:tcPr>
            <w:tcW w:w="1368"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 xml:space="preserve">Lesson </w:t>
            </w:r>
            <w:r w:rsidR="00420EAA" w:rsidRPr="002517BF">
              <w:rPr>
                <w:b/>
                <w:bCs/>
              </w:rPr>
              <w:t>Introduction</w:t>
            </w:r>
          </w:p>
          <w:p w:rsidR="008D00AA" w:rsidRPr="002517BF" w:rsidRDefault="008D00AA" w:rsidP="00D00D5A">
            <w:pPr>
              <w:rPr>
                <w:b/>
                <w:bCs/>
              </w:rPr>
            </w:pPr>
            <w:r w:rsidRPr="002517BF">
              <w:rPr>
                <w:bCs/>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Pr="002517BF" w:rsidRDefault="00390D93" w:rsidP="00390D93">
            <w:pPr>
              <w:pStyle w:val="ListParagraph"/>
              <w:numPr>
                <w:ilvl w:val="0"/>
                <w:numId w:val="7"/>
              </w:numPr>
              <w:ind w:left="342"/>
            </w:pPr>
            <w:r w:rsidRPr="002517BF">
              <w:t xml:space="preserve">Start lesson stating the objectives. </w:t>
            </w:r>
            <w:r w:rsidR="00523078" w:rsidRPr="002517BF">
              <w:t>Explain that we will be presenting the vocabulary words again, doing a short prediction activity, having a short grammar lesson, and then ended with a guided reading with whatever time is left over.</w:t>
            </w:r>
          </w:p>
        </w:tc>
        <w:tc>
          <w:tcPr>
            <w:tcW w:w="720" w:type="dxa"/>
            <w:tcBorders>
              <w:top w:val="single" w:sz="4" w:space="0" w:color="auto"/>
              <w:left w:val="single" w:sz="4" w:space="0" w:color="auto"/>
              <w:bottom w:val="single" w:sz="4" w:space="0" w:color="auto"/>
              <w:right w:val="single" w:sz="4" w:space="0" w:color="auto"/>
            </w:tcBorders>
          </w:tcPr>
          <w:p w:rsidR="00637CB2" w:rsidRPr="002517BF" w:rsidRDefault="00B8026D" w:rsidP="00D00D5A">
            <w:r w:rsidRPr="002517BF">
              <w:t>2 Minutes</w:t>
            </w:r>
          </w:p>
        </w:tc>
        <w:tc>
          <w:tcPr>
            <w:tcW w:w="1530" w:type="dxa"/>
            <w:tcBorders>
              <w:top w:val="single" w:sz="4" w:space="0" w:color="auto"/>
              <w:left w:val="single" w:sz="4" w:space="0" w:color="auto"/>
              <w:bottom w:val="single" w:sz="4" w:space="0" w:color="auto"/>
              <w:right w:val="single" w:sz="4" w:space="0" w:color="auto"/>
            </w:tcBorders>
          </w:tcPr>
          <w:p w:rsidR="00637CB2" w:rsidRPr="002517BF" w:rsidRDefault="00B6521C" w:rsidP="00D00D5A">
            <w:r w:rsidRPr="002517BF">
              <w:t>Listening, asking questions as needed</w:t>
            </w:r>
          </w:p>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2517BF" w:rsidRDefault="00637CB2" w:rsidP="00D00D5A"/>
          <w:p w:rsidR="00637CB2" w:rsidRPr="002517BF" w:rsidRDefault="00637CB2" w:rsidP="00D00D5A"/>
          <w:p w:rsidR="00637CB2" w:rsidRPr="002517BF" w:rsidRDefault="00637CB2" w:rsidP="00D00D5A"/>
        </w:tc>
      </w:tr>
      <w:tr w:rsidR="007F5D75" w:rsidRPr="002517BF" w:rsidTr="00D00D5A">
        <w:tc>
          <w:tcPr>
            <w:tcW w:w="1368" w:type="dxa"/>
            <w:tcBorders>
              <w:top w:val="single" w:sz="4" w:space="0" w:color="auto"/>
              <w:left w:val="single" w:sz="4" w:space="0" w:color="auto"/>
              <w:bottom w:val="single" w:sz="4" w:space="0" w:color="auto"/>
              <w:right w:val="single" w:sz="4" w:space="0" w:color="auto"/>
            </w:tcBorders>
          </w:tcPr>
          <w:p w:rsidR="007F5D75" w:rsidRPr="002517BF" w:rsidRDefault="007F5D75" w:rsidP="00D00D5A">
            <w:pPr>
              <w:rPr>
                <w:b/>
                <w:bCs/>
              </w:rPr>
            </w:pPr>
            <w:r w:rsidRPr="002517BF">
              <w:rPr>
                <w:b/>
                <w:bCs/>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7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r>
      <w:tr w:rsidR="008D00AA" w:rsidRPr="002517BF" w:rsidTr="00D00D5A">
        <w:tc>
          <w:tcPr>
            <w:tcW w:w="1368" w:type="dxa"/>
            <w:tcBorders>
              <w:top w:val="single" w:sz="4" w:space="0" w:color="auto"/>
              <w:left w:val="single" w:sz="4" w:space="0" w:color="auto"/>
              <w:bottom w:val="single" w:sz="4" w:space="0" w:color="auto"/>
              <w:right w:val="single" w:sz="4" w:space="0" w:color="auto"/>
            </w:tcBorders>
          </w:tcPr>
          <w:p w:rsidR="007F5D75" w:rsidRPr="002517BF" w:rsidRDefault="007F5D75" w:rsidP="00D00D5A">
            <w:r w:rsidRPr="002517BF">
              <w:t>Direct Instruction</w:t>
            </w:r>
          </w:p>
          <w:p w:rsidR="00637CB2" w:rsidRPr="002517BF" w:rsidRDefault="00637CB2" w:rsidP="00D00D5A">
            <w:pPr>
              <w:rPr>
                <w:b/>
                <w:bCs/>
              </w:rPr>
            </w:pPr>
          </w:p>
        </w:tc>
        <w:tc>
          <w:tcPr>
            <w:tcW w:w="6660" w:type="dxa"/>
            <w:tcBorders>
              <w:top w:val="single" w:sz="4" w:space="0" w:color="auto"/>
              <w:left w:val="single" w:sz="4" w:space="0" w:color="auto"/>
              <w:bottom w:val="single" w:sz="4" w:space="0" w:color="auto"/>
              <w:right w:val="single" w:sz="4" w:space="0" w:color="auto"/>
            </w:tcBorders>
          </w:tcPr>
          <w:p w:rsidR="00637CB2" w:rsidRDefault="00523078" w:rsidP="00523078">
            <w:pPr>
              <w:pStyle w:val="ListParagraph"/>
              <w:numPr>
                <w:ilvl w:val="0"/>
                <w:numId w:val="9"/>
              </w:numPr>
              <w:ind w:left="342"/>
            </w:pPr>
            <w:r w:rsidRPr="002517BF">
              <w:t>Students will share their vocabulary words in groups, explaining each element of the worksheet. They will teach the definition, and explain all the other parts. These will be collected and copied so each group member has something to study and look at for each word.</w:t>
            </w:r>
          </w:p>
          <w:p w:rsidR="00A452A9" w:rsidRDefault="00A452A9" w:rsidP="00A452A9"/>
          <w:p w:rsidR="00A452A9" w:rsidRPr="002517BF" w:rsidRDefault="00A452A9" w:rsidP="00A452A9"/>
          <w:p w:rsidR="00523078" w:rsidRDefault="00523078" w:rsidP="0080040D">
            <w:pPr>
              <w:pStyle w:val="ListParagraph"/>
              <w:numPr>
                <w:ilvl w:val="0"/>
                <w:numId w:val="9"/>
              </w:numPr>
              <w:ind w:left="342"/>
            </w:pPr>
            <w:r w:rsidRPr="002517BF">
              <w:t xml:space="preserve">Students will then split up into partners or groups of three. They will be required to read the quote at the beginning of Part III and then read the short section “The Lovers”. As a group students </w:t>
            </w:r>
            <w:r w:rsidR="0080040D" w:rsidRPr="002517BF">
              <w:t xml:space="preserve">will work to come up with how the two people in the moving statue parallel or symbolize, or are the opposite representation of the relationship between Marco and Celia. It doesn’t need to be a long piece of writing, but they need to </w:t>
            </w:r>
            <w:r w:rsidR="0080040D" w:rsidRPr="002517BF">
              <w:lastRenderedPageBreak/>
              <w:t xml:space="preserve">have a few examples from the text to support their ideas. They can turn it in at the end of the period if they’d like, but if they </w:t>
            </w:r>
            <w:r w:rsidR="00A452A9">
              <w:t>need to bring it home and work on it they can</w:t>
            </w:r>
          </w:p>
          <w:p w:rsidR="00A452A9" w:rsidRDefault="00A452A9" w:rsidP="00A452A9"/>
          <w:p w:rsidR="00A452A9" w:rsidRDefault="00A452A9" w:rsidP="00A452A9"/>
          <w:p w:rsidR="00A452A9" w:rsidRPr="002517BF" w:rsidRDefault="00A452A9" w:rsidP="00A452A9"/>
          <w:p w:rsidR="00A452A9" w:rsidRPr="002517BF" w:rsidRDefault="00A452A9" w:rsidP="00A452A9">
            <w:pPr>
              <w:pStyle w:val="ListParagraph"/>
              <w:numPr>
                <w:ilvl w:val="0"/>
                <w:numId w:val="9"/>
              </w:numPr>
              <w:ind w:left="342"/>
            </w:pPr>
            <w:r>
              <w:t>Grammar Lesson-Adjective Review</w:t>
            </w:r>
          </w:p>
          <w:p w:rsidR="0080040D" w:rsidRPr="002517BF" w:rsidRDefault="0080040D" w:rsidP="0080040D">
            <w:pPr>
              <w:pStyle w:val="ListParagraph"/>
              <w:numPr>
                <w:ilvl w:val="0"/>
                <w:numId w:val="10"/>
              </w:numPr>
            </w:pPr>
            <w:r w:rsidRPr="002517BF">
              <w:t xml:space="preserve">Explain that adjectives are important in this </w:t>
            </w:r>
            <w:proofErr w:type="gramStart"/>
            <w:r w:rsidRPr="002517BF">
              <w:t>story,</w:t>
            </w:r>
            <w:proofErr w:type="gramEnd"/>
            <w:r w:rsidRPr="002517BF">
              <w:t xml:space="preserve"> there is so much descriptive imagery that knowing adjectives are important. </w:t>
            </w:r>
          </w:p>
          <w:p w:rsidR="00B8026D" w:rsidRPr="002517BF" w:rsidRDefault="0080040D" w:rsidP="00B8026D">
            <w:pPr>
              <w:pStyle w:val="ListParagraph"/>
              <w:numPr>
                <w:ilvl w:val="0"/>
                <w:numId w:val="10"/>
              </w:numPr>
            </w:pPr>
            <w:r w:rsidRPr="002517BF">
              <w:t>Ask students to give you the definition of an Adjective</w:t>
            </w:r>
            <w:r w:rsidR="00B8026D" w:rsidRPr="002517BF">
              <w:t>, which is a word that describes a noun, often to create a more colorful picture.</w:t>
            </w:r>
          </w:p>
          <w:p w:rsidR="00B8026D" w:rsidRPr="002517BF" w:rsidRDefault="00B8026D" w:rsidP="00B8026D">
            <w:pPr>
              <w:pStyle w:val="ListParagraph"/>
              <w:numPr>
                <w:ilvl w:val="0"/>
                <w:numId w:val="10"/>
              </w:numPr>
            </w:pPr>
            <w:r w:rsidRPr="002517BF">
              <w:t>Ask students for examples of adjectives that they could use in writing.</w:t>
            </w:r>
          </w:p>
          <w:p w:rsidR="00B8026D" w:rsidRPr="002517BF" w:rsidRDefault="00B8026D" w:rsidP="00B8026D">
            <w:pPr>
              <w:pStyle w:val="ListParagraph"/>
              <w:numPr>
                <w:ilvl w:val="0"/>
                <w:numId w:val="10"/>
              </w:numPr>
            </w:pPr>
            <w:r w:rsidRPr="002517BF">
              <w:t xml:space="preserve">Tell students to pair up, and have </w:t>
            </w:r>
            <w:proofErr w:type="gramStart"/>
            <w:r w:rsidRPr="002517BF">
              <w:t>them</w:t>
            </w:r>
            <w:proofErr w:type="gramEnd"/>
            <w:r w:rsidRPr="002517BF">
              <w:t xml:space="preserve"> come up with three sentences describing a tent that we have already encountered in </w:t>
            </w:r>
            <w:r w:rsidRPr="002517BF">
              <w:rPr>
                <w:i/>
              </w:rPr>
              <w:t>The Night Circus</w:t>
            </w:r>
            <w:r w:rsidRPr="002517BF">
              <w:t xml:space="preserve"> and describe it. Tell them to indicate which words they use are adjectives. These will be collected at the end of the activity.</w:t>
            </w:r>
          </w:p>
        </w:tc>
        <w:tc>
          <w:tcPr>
            <w:tcW w:w="720" w:type="dxa"/>
            <w:tcBorders>
              <w:top w:val="single" w:sz="4" w:space="0" w:color="auto"/>
              <w:left w:val="single" w:sz="4" w:space="0" w:color="auto"/>
              <w:bottom w:val="single" w:sz="4" w:space="0" w:color="auto"/>
              <w:right w:val="single" w:sz="4" w:space="0" w:color="auto"/>
            </w:tcBorders>
          </w:tcPr>
          <w:p w:rsidR="00637CB2" w:rsidRPr="002517BF" w:rsidRDefault="00B8026D" w:rsidP="00D00D5A">
            <w:r w:rsidRPr="002517BF">
              <w:lastRenderedPageBreak/>
              <w:t>10Minutes</w:t>
            </w:r>
          </w:p>
          <w:p w:rsidR="00B8026D" w:rsidRPr="002517BF" w:rsidRDefault="00B8026D" w:rsidP="00D00D5A"/>
          <w:p w:rsidR="00B8026D" w:rsidRPr="002517BF" w:rsidRDefault="00B8026D" w:rsidP="00D00D5A"/>
          <w:p w:rsidR="00B8026D" w:rsidRPr="002517BF" w:rsidRDefault="00B8026D" w:rsidP="00D00D5A"/>
          <w:p w:rsidR="00B6521C" w:rsidRPr="002517BF" w:rsidRDefault="00B6521C" w:rsidP="00D00D5A"/>
          <w:p w:rsidR="00B8026D" w:rsidRPr="002517BF" w:rsidRDefault="00B8026D" w:rsidP="00D00D5A">
            <w:r w:rsidRPr="002517BF">
              <w:t>15 Minutes</w:t>
            </w:r>
          </w:p>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r w:rsidRPr="002517BF">
              <w:t>20 Minutes</w:t>
            </w:r>
          </w:p>
          <w:p w:rsidR="00B8026D" w:rsidRPr="002517BF" w:rsidRDefault="00B8026D" w:rsidP="00D00D5A"/>
          <w:p w:rsidR="00B8026D" w:rsidRPr="002517BF" w:rsidRDefault="00B8026D" w:rsidP="00D00D5A"/>
          <w:p w:rsidR="00B8026D" w:rsidRPr="002517BF" w:rsidRDefault="00B8026D" w:rsidP="00D00D5A"/>
          <w:p w:rsidR="00B8026D" w:rsidRPr="002517BF" w:rsidRDefault="00B8026D" w:rsidP="00D00D5A"/>
        </w:tc>
        <w:tc>
          <w:tcPr>
            <w:tcW w:w="1530" w:type="dxa"/>
            <w:tcBorders>
              <w:top w:val="single" w:sz="4" w:space="0" w:color="auto"/>
              <w:left w:val="single" w:sz="4" w:space="0" w:color="auto"/>
              <w:bottom w:val="single" w:sz="4" w:space="0" w:color="auto"/>
              <w:right w:val="single" w:sz="4" w:space="0" w:color="auto"/>
            </w:tcBorders>
          </w:tcPr>
          <w:p w:rsidR="00637CB2" w:rsidRPr="002517BF" w:rsidRDefault="00B6521C" w:rsidP="00D00D5A">
            <w:r w:rsidRPr="002517BF">
              <w:lastRenderedPageBreak/>
              <w:t>Sharing with their groups, listening when others share</w:t>
            </w:r>
          </w:p>
          <w:p w:rsidR="00B6521C" w:rsidRPr="002517BF" w:rsidRDefault="00B6521C" w:rsidP="00D00D5A"/>
          <w:p w:rsidR="00B6521C" w:rsidRPr="002517BF" w:rsidRDefault="00B6521C" w:rsidP="00D00D5A"/>
          <w:p w:rsidR="00B6521C" w:rsidRPr="002517BF" w:rsidRDefault="00B6521C" w:rsidP="00D00D5A">
            <w:r w:rsidRPr="002517BF">
              <w:t>Writing, discussing prompt with group, asking questions as needed</w:t>
            </w:r>
          </w:p>
          <w:p w:rsidR="00B6521C" w:rsidRPr="002517BF" w:rsidRDefault="00B6521C" w:rsidP="00D00D5A"/>
          <w:p w:rsidR="00B6521C" w:rsidRPr="002517BF" w:rsidRDefault="00B6521C" w:rsidP="00D00D5A"/>
          <w:p w:rsidR="00B6521C" w:rsidRPr="002517BF" w:rsidRDefault="00B6521C" w:rsidP="00D00D5A"/>
          <w:p w:rsidR="00B6521C" w:rsidRPr="002517BF" w:rsidRDefault="00B6521C" w:rsidP="00D00D5A"/>
          <w:p w:rsidR="00B6521C" w:rsidRPr="002517BF" w:rsidRDefault="00B6521C" w:rsidP="00D00D5A"/>
          <w:p w:rsidR="00B6521C" w:rsidRDefault="00B6521C" w:rsidP="00D00D5A"/>
          <w:p w:rsidR="00A452A9" w:rsidRPr="002517BF" w:rsidRDefault="00A452A9" w:rsidP="00D00D5A"/>
          <w:p w:rsidR="00B6521C" w:rsidRPr="002517BF" w:rsidRDefault="00B6521C" w:rsidP="00D00D5A">
            <w:r w:rsidRPr="002517BF">
              <w:t>Listening, coming up with examples, taking notes as needed, answering discussion questions</w:t>
            </w:r>
          </w:p>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Default="00EA7CAD" w:rsidP="00D00D5A">
            <w:r w:rsidRPr="002517BF">
              <w:t>They will turn assignment in, be assessed on how well and correctly it is completed</w:t>
            </w:r>
          </w:p>
          <w:p w:rsidR="00A452A9" w:rsidRPr="002517BF" w:rsidRDefault="00A452A9" w:rsidP="00D00D5A"/>
          <w:p w:rsidR="00EA7CAD" w:rsidRPr="002517BF" w:rsidRDefault="00EA7CAD" w:rsidP="00D00D5A">
            <w:r w:rsidRPr="002517BF">
              <w:t xml:space="preserve">Will be assessed on how well they are able to synthesize material, how much sense </w:t>
            </w:r>
            <w:r w:rsidRPr="002517BF">
              <w:lastRenderedPageBreak/>
              <w:t>their argument made, if it makes sense</w:t>
            </w:r>
          </w:p>
          <w:p w:rsidR="00EA7CAD" w:rsidRPr="002517BF" w:rsidRDefault="00EA7CAD" w:rsidP="00D00D5A"/>
          <w:p w:rsidR="00EA7CAD" w:rsidRPr="002517BF" w:rsidRDefault="00EA7CAD" w:rsidP="00D00D5A"/>
          <w:p w:rsidR="00EA7CAD" w:rsidRPr="002517BF" w:rsidRDefault="00EA7CAD" w:rsidP="00D00D5A">
            <w:r w:rsidRPr="002517BF">
              <w:t>Will be assessed on the sentences they turn in at the end of class</w:t>
            </w:r>
          </w:p>
        </w:tc>
        <w:tc>
          <w:tcPr>
            <w:tcW w:w="1260" w:type="dxa"/>
            <w:tcBorders>
              <w:top w:val="single" w:sz="4" w:space="0" w:color="auto"/>
              <w:left w:val="single" w:sz="4" w:space="0" w:color="auto"/>
              <w:bottom w:val="single" w:sz="4" w:space="0" w:color="auto"/>
              <w:right w:val="single" w:sz="4" w:space="0" w:color="auto"/>
            </w:tcBorders>
          </w:tcPr>
          <w:p w:rsidR="00637CB2" w:rsidRPr="002517BF" w:rsidRDefault="00EA7CAD" w:rsidP="00D00D5A">
            <w:r w:rsidRPr="002517BF">
              <w:lastRenderedPageBreak/>
              <w:t>Homework</w:t>
            </w:r>
          </w:p>
          <w:p w:rsidR="00637CB2" w:rsidRPr="002517BF" w:rsidRDefault="00637CB2"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A452A9" w:rsidP="00D00D5A">
            <w:r>
              <w:t>Notebooks</w:t>
            </w:r>
          </w:p>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Pr="002517BF" w:rsidRDefault="00EA7CAD" w:rsidP="00D00D5A"/>
          <w:p w:rsidR="00EA7CAD" w:rsidRDefault="00EA7CAD" w:rsidP="00D00D5A"/>
          <w:p w:rsidR="00A452A9" w:rsidRPr="002517BF" w:rsidRDefault="00A452A9" w:rsidP="00D00D5A"/>
          <w:p w:rsidR="00EA7CAD" w:rsidRPr="002517BF" w:rsidRDefault="00EA7CAD" w:rsidP="00A452A9">
            <w:r w:rsidRPr="002517BF">
              <w:t xml:space="preserve">Chalkboard/whiteboard, </w:t>
            </w:r>
            <w:r w:rsidR="00A452A9">
              <w:t>Notebooks</w:t>
            </w:r>
          </w:p>
        </w:tc>
      </w:tr>
      <w:tr w:rsidR="007F5D75" w:rsidRPr="002517BF" w:rsidTr="00D00D5A">
        <w:tc>
          <w:tcPr>
            <w:tcW w:w="1368" w:type="dxa"/>
            <w:tcBorders>
              <w:top w:val="single" w:sz="4" w:space="0" w:color="auto"/>
              <w:left w:val="single" w:sz="4" w:space="0" w:color="auto"/>
              <w:bottom w:val="single" w:sz="4" w:space="0" w:color="auto"/>
              <w:right w:val="single" w:sz="4" w:space="0" w:color="auto"/>
            </w:tcBorders>
          </w:tcPr>
          <w:p w:rsidR="007F5D75" w:rsidRPr="002517BF" w:rsidRDefault="007F5D75" w:rsidP="00D00D5A">
            <w:r w:rsidRPr="002517BF">
              <w:lastRenderedPageBreak/>
              <w:t>Guided Practice</w:t>
            </w:r>
          </w:p>
          <w:p w:rsidR="007F5D75" w:rsidRPr="002517BF" w:rsidRDefault="007F5D75" w:rsidP="00D00D5A"/>
        </w:tc>
        <w:tc>
          <w:tcPr>
            <w:tcW w:w="6660" w:type="dxa"/>
            <w:tcBorders>
              <w:top w:val="single" w:sz="4" w:space="0" w:color="auto"/>
              <w:left w:val="single" w:sz="4" w:space="0" w:color="auto"/>
              <w:bottom w:val="single" w:sz="4" w:space="0" w:color="auto"/>
              <w:right w:val="single" w:sz="4" w:space="0" w:color="auto"/>
            </w:tcBorders>
          </w:tcPr>
          <w:p w:rsidR="007F5D75" w:rsidRPr="002517BF" w:rsidRDefault="00B6521C" w:rsidP="00B6521C">
            <w:pPr>
              <w:pStyle w:val="ListParagraph"/>
              <w:numPr>
                <w:ilvl w:val="0"/>
                <w:numId w:val="11"/>
              </w:numPr>
              <w:ind w:left="342"/>
            </w:pPr>
            <w:r w:rsidRPr="002517BF">
              <w:t>Asking students for examples of adjectives they could use in their writing</w:t>
            </w:r>
          </w:p>
        </w:tc>
        <w:tc>
          <w:tcPr>
            <w:tcW w:w="7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r>
      <w:tr w:rsidR="007F5D75" w:rsidRPr="002517BF" w:rsidTr="00D00D5A">
        <w:tc>
          <w:tcPr>
            <w:tcW w:w="1368" w:type="dxa"/>
            <w:tcBorders>
              <w:top w:val="single" w:sz="4" w:space="0" w:color="auto"/>
              <w:left w:val="single" w:sz="4" w:space="0" w:color="auto"/>
              <w:bottom w:val="single" w:sz="4" w:space="0" w:color="auto"/>
              <w:right w:val="single" w:sz="4" w:space="0" w:color="auto"/>
            </w:tcBorders>
          </w:tcPr>
          <w:p w:rsidR="007F5D75" w:rsidRPr="002517BF" w:rsidRDefault="007F5D75" w:rsidP="00D00D5A">
            <w:r w:rsidRPr="002517BF">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2517BF" w:rsidRDefault="00B6521C" w:rsidP="00B6521C">
            <w:pPr>
              <w:pStyle w:val="ListParagraph"/>
              <w:numPr>
                <w:ilvl w:val="0"/>
                <w:numId w:val="11"/>
              </w:numPr>
              <w:ind w:left="342"/>
            </w:pPr>
            <w:r w:rsidRPr="002517BF">
              <w:t>The group writing assignment where the students support or refute the statement that the lovers represent Celia and Marco</w:t>
            </w:r>
          </w:p>
          <w:p w:rsidR="00B6521C" w:rsidRPr="002517BF" w:rsidRDefault="00B6521C" w:rsidP="00B6521C">
            <w:pPr>
              <w:pStyle w:val="ListParagraph"/>
              <w:numPr>
                <w:ilvl w:val="0"/>
                <w:numId w:val="11"/>
              </w:numPr>
              <w:ind w:left="342"/>
            </w:pPr>
            <w:r w:rsidRPr="002517BF">
              <w:t>Coming up with sentences describing the tents</w:t>
            </w:r>
          </w:p>
          <w:p w:rsidR="00B6521C" w:rsidRPr="002517BF" w:rsidRDefault="00B6521C" w:rsidP="00B6521C">
            <w:pPr>
              <w:pStyle w:val="ListParagraph"/>
              <w:numPr>
                <w:ilvl w:val="0"/>
                <w:numId w:val="11"/>
              </w:numPr>
              <w:ind w:left="342"/>
            </w:pPr>
            <w:r w:rsidRPr="002517BF">
              <w:t>Sharing their vocabulary words</w:t>
            </w:r>
          </w:p>
        </w:tc>
        <w:tc>
          <w:tcPr>
            <w:tcW w:w="7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2517BF" w:rsidRDefault="007F5D75" w:rsidP="00D00D5A"/>
        </w:tc>
      </w:tr>
      <w:tr w:rsidR="008D00AA" w:rsidRPr="002517BF"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2517BF" w:rsidRDefault="00B6521C" w:rsidP="00B6521C">
            <w:pPr>
              <w:pStyle w:val="ListParagraph"/>
              <w:numPr>
                <w:ilvl w:val="0"/>
                <w:numId w:val="11"/>
              </w:numPr>
              <w:ind w:left="342"/>
            </w:pPr>
            <w:r w:rsidRPr="002517BF">
              <w:t>Students will read from “Thirteen” to “Bookkeeping” for homework. In addition they will finish their short in-class writing assignment if needed.</w:t>
            </w:r>
          </w:p>
        </w:tc>
        <w:tc>
          <w:tcPr>
            <w:tcW w:w="7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53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2517BF" w:rsidRDefault="00637CB2" w:rsidP="00D00D5A">
            <w:r w:rsidRPr="002517BF">
              <w:t xml:space="preserve"> </w:t>
            </w:r>
          </w:p>
        </w:tc>
      </w:tr>
      <w:tr w:rsidR="008D00AA" w:rsidRPr="002517BF"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2517BF" w:rsidRDefault="00637CB2" w:rsidP="00D00D5A">
            <w:pPr>
              <w:rPr>
                <w:b/>
                <w:bCs/>
              </w:rPr>
            </w:pPr>
            <w:r w:rsidRPr="002517BF">
              <w:rPr>
                <w:b/>
                <w:bCs/>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2517BF" w:rsidRDefault="00B6521C" w:rsidP="00B6521C">
            <w:pPr>
              <w:pStyle w:val="ListParagraph"/>
              <w:numPr>
                <w:ilvl w:val="0"/>
                <w:numId w:val="12"/>
              </w:numPr>
              <w:ind w:left="342"/>
            </w:pPr>
            <w:r w:rsidRPr="002517BF">
              <w:t xml:space="preserve">Review what we learned about, that we discussed the parallels between The Lovers and Marco and Celia, went over vocabulary words, and had a review of adjectives. </w:t>
            </w:r>
          </w:p>
          <w:p w:rsidR="00B6521C" w:rsidRPr="002517BF" w:rsidRDefault="00B6521C" w:rsidP="00B6521C">
            <w:pPr>
              <w:pStyle w:val="ListParagraph"/>
              <w:numPr>
                <w:ilvl w:val="0"/>
                <w:numId w:val="12"/>
              </w:numPr>
              <w:ind w:left="342"/>
            </w:pPr>
            <w:r w:rsidRPr="002517BF">
              <w:t>Inform students of their homework.</w:t>
            </w:r>
          </w:p>
        </w:tc>
        <w:tc>
          <w:tcPr>
            <w:tcW w:w="720" w:type="dxa"/>
            <w:tcBorders>
              <w:top w:val="single" w:sz="4" w:space="0" w:color="auto"/>
              <w:left w:val="single" w:sz="4" w:space="0" w:color="auto"/>
              <w:bottom w:val="single" w:sz="4" w:space="0" w:color="auto"/>
              <w:right w:val="single" w:sz="4" w:space="0" w:color="auto"/>
            </w:tcBorders>
          </w:tcPr>
          <w:p w:rsidR="00637CB2" w:rsidRPr="002517BF" w:rsidRDefault="00B6521C" w:rsidP="00D00D5A">
            <w:r w:rsidRPr="002517BF">
              <w:t>3 Minutes</w:t>
            </w:r>
          </w:p>
        </w:tc>
        <w:tc>
          <w:tcPr>
            <w:tcW w:w="1530" w:type="dxa"/>
            <w:tcBorders>
              <w:top w:val="single" w:sz="4" w:space="0" w:color="auto"/>
              <w:left w:val="single" w:sz="4" w:space="0" w:color="auto"/>
              <w:bottom w:val="single" w:sz="4" w:space="0" w:color="auto"/>
              <w:right w:val="single" w:sz="4" w:space="0" w:color="auto"/>
            </w:tcBorders>
          </w:tcPr>
          <w:p w:rsidR="00637CB2" w:rsidRPr="002517BF" w:rsidRDefault="00B6521C" w:rsidP="00D00D5A">
            <w:r w:rsidRPr="002517BF">
              <w:t xml:space="preserve">Listening, turning in assignments as needed, </w:t>
            </w:r>
            <w:r w:rsidR="00EA7CAD" w:rsidRPr="002517BF">
              <w:t xml:space="preserve">asking questions if needed, </w:t>
            </w:r>
            <w:r w:rsidR="00EA7CAD" w:rsidRPr="002517BF">
              <w:lastRenderedPageBreak/>
              <w:t>writing down homework.</w:t>
            </w:r>
          </w:p>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2517BF" w:rsidRDefault="00637CB2" w:rsidP="00D00D5A"/>
        </w:tc>
      </w:tr>
    </w:tbl>
    <w:p w:rsidR="002A0934" w:rsidRPr="002517BF"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517BF" w:rsidTr="00D00D5A">
        <w:trPr>
          <w:trHeight w:val="379"/>
        </w:trPr>
        <w:tc>
          <w:tcPr>
            <w:tcW w:w="8010" w:type="dxa"/>
            <w:gridSpan w:val="2"/>
            <w:shd w:val="clear" w:color="auto" w:fill="auto"/>
          </w:tcPr>
          <w:p w:rsidR="00D00D5A" w:rsidRPr="002517BF" w:rsidRDefault="007F5D75" w:rsidP="00D00D5A">
            <w:pPr>
              <w:ind w:firstLine="720"/>
              <w:jc w:val="center"/>
              <w:rPr>
                <w:b/>
              </w:rPr>
            </w:pPr>
            <w:r w:rsidRPr="002517BF">
              <w:rPr>
                <w:b/>
              </w:rPr>
              <w:t>LEVELS OF STUDENT OUTCOMES</w:t>
            </w:r>
          </w:p>
          <w:p w:rsidR="007F5D75" w:rsidRPr="002517BF" w:rsidRDefault="007F5D75" w:rsidP="00D00D5A">
            <w:pPr>
              <w:ind w:firstLine="720"/>
              <w:jc w:val="center"/>
              <w:rPr>
                <w:b/>
              </w:rPr>
            </w:pPr>
            <w:r w:rsidRPr="002517BF">
              <w:rPr>
                <w:i/>
              </w:rPr>
              <w:t xml:space="preserve">Remember the </w:t>
            </w:r>
            <w:r w:rsidR="00D00D5A" w:rsidRPr="002517BF">
              <w:rPr>
                <w:i/>
              </w:rPr>
              <w:t xml:space="preserve">model of instruction, the instructional setting and the students’ needs, goals and </w:t>
            </w:r>
            <w:r w:rsidRPr="002517BF">
              <w:rPr>
                <w:i/>
              </w:rPr>
              <w:t>objective</w:t>
            </w:r>
            <w:r w:rsidR="00D00D5A" w:rsidRPr="002517BF">
              <w:rPr>
                <w:i/>
              </w:rPr>
              <w:t>s</w:t>
            </w:r>
            <w:r w:rsidRPr="002517BF">
              <w:rPr>
                <w:i/>
              </w:rPr>
              <w:t>.</w:t>
            </w:r>
          </w:p>
        </w:tc>
      </w:tr>
      <w:tr w:rsidR="007F5D75" w:rsidRPr="002517BF" w:rsidTr="00D00D5A">
        <w:trPr>
          <w:trHeight w:val="379"/>
        </w:trPr>
        <w:tc>
          <w:tcPr>
            <w:tcW w:w="2304" w:type="dxa"/>
            <w:shd w:val="clear" w:color="auto" w:fill="auto"/>
          </w:tcPr>
          <w:p w:rsidR="007F5D75" w:rsidRPr="002517BF" w:rsidRDefault="00D00D5A" w:rsidP="00D00D5A">
            <w:pPr>
              <w:spacing w:line="480" w:lineRule="auto"/>
              <w:ind w:firstLine="720"/>
              <w:rPr>
                <w:b/>
              </w:rPr>
            </w:pPr>
            <w:r w:rsidRPr="002517BF">
              <w:rPr>
                <w:b/>
              </w:rPr>
              <w:t xml:space="preserve"> </w:t>
            </w:r>
            <w:r w:rsidR="007F5D75" w:rsidRPr="002517BF">
              <w:rPr>
                <w:b/>
              </w:rPr>
              <w:t>All</w:t>
            </w:r>
          </w:p>
        </w:tc>
        <w:tc>
          <w:tcPr>
            <w:tcW w:w="5706" w:type="dxa"/>
            <w:shd w:val="clear" w:color="auto" w:fill="auto"/>
          </w:tcPr>
          <w:p w:rsidR="007F5D75" w:rsidRPr="002517BF" w:rsidRDefault="00DE1F9C" w:rsidP="002517BF">
            <w:r w:rsidRPr="002517BF">
              <w:t xml:space="preserve">All students will participate in </w:t>
            </w:r>
            <w:r w:rsidR="002517BF" w:rsidRPr="002517BF">
              <w:t>sharing their vocabulary words, will participate in creating an argument for the prompt given, and participate in coming up with sentences that use adjectives well.</w:t>
            </w:r>
          </w:p>
        </w:tc>
      </w:tr>
      <w:tr w:rsidR="007F5D75" w:rsidRPr="002517BF" w:rsidTr="00D00D5A">
        <w:trPr>
          <w:trHeight w:val="379"/>
        </w:trPr>
        <w:tc>
          <w:tcPr>
            <w:tcW w:w="2304" w:type="dxa"/>
            <w:shd w:val="clear" w:color="auto" w:fill="auto"/>
          </w:tcPr>
          <w:p w:rsidR="007F5D75" w:rsidRPr="002517BF" w:rsidRDefault="007F5D75" w:rsidP="00D00D5A">
            <w:pPr>
              <w:spacing w:line="480" w:lineRule="auto"/>
              <w:jc w:val="center"/>
              <w:rPr>
                <w:b/>
              </w:rPr>
            </w:pPr>
            <w:r w:rsidRPr="002517BF">
              <w:rPr>
                <w:b/>
              </w:rPr>
              <w:t>Some</w:t>
            </w:r>
          </w:p>
        </w:tc>
        <w:tc>
          <w:tcPr>
            <w:tcW w:w="5706" w:type="dxa"/>
            <w:shd w:val="clear" w:color="auto" w:fill="auto"/>
          </w:tcPr>
          <w:p w:rsidR="007F5D75" w:rsidRPr="002517BF" w:rsidRDefault="002517BF" w:rsidP="002517BF">
            <w:r w:rsidRPr="002517BF">
              <w:t>Some students will be able to answer discussion questions and struggle with the writing prompt.</w:t>
            </w:r>
          </w:p>
        </w:tc>
      </w:tr>
      <w:tr w:rsidR="007F5D75" w:rsidRPr="002517BF" w:rsidTr="00D00D5A">
        <w:trPr>
          <w:trHeight w:val="393"/>
        </w:trPr>
        <w:tc>
          <w:tcPr>
            <w:tcW w:w="2304" w:type="dxa"/>
            <w:shd w:val="clear" w:color="auto" w:fill="auto"/>
          </w:tcPr>
          <w:p w:rsidR="007F5D75" w:rsidRPr="002517BF" w:rsidRDefault="007F5D75" w:rsidP="00D00D5A">
            <w:pPr>
              <w:spacing w:line="480" w:lineRule="auto"/>
              <w:ind w:firstLine="720"/>
              <w:rPr>
                <w:b/>
              </w:rPr>
            </w:pPr>
            <w:r w:rsidRPr="002517BF">
              <w:rPr>
                <w:b/>
              </w:rPr>
              <w:t>Few</w:t>
            </w:r>
          </w:p>
        </w:tc>
        <w:tc>
          <w:tcPr>
            <w:tcW w:w="5706" w:type="dxa"/>
            <w:shd w:val="clear" w:color="auto" w:fill="auto"/>
          </w:tcPr>
          <w:p w:rsidR="007F5D75" w:rsidRPr="002517BF" w:rsidRDefault="002517BF" w:rsidP="002517BF">
            <w:r w:rsidRPr="002517BF">
              <w:t>Few students will struggle because they have not completed their homework (Doug, Harriet. ELL learners will receive class materials prior to class starting), few will struggle with the adjectives assignment</w:t>
            </w:r>
          </w:p>
        </w:tc>
      </w:tr>
    </w:tbl>
    <w:p w:rsidR="00D00D5A" w:rsidRPr="002517BF" w:rsidRDefault="00D00D5A" w:rsidP="0037183C">
      <w:pPr>
        <w:numPr>
          <w:ilvl w:val="0"/>
          <w:numId w:val="6"/>
        </w:numPr>
        <w:spacing w:line="480" w:lineRule="auto"/>
        <w:rPr>
          <w:b/>
        </w:rPr>
      </w:pPr>
      <w:r w:rsidRPr="002517BF">
        <w:rPr>
          <w:b/>
        </w:rPr>
        <w:t>Attach Classroom Profile (Highlight students in lesson for instructional focu</w:t>
      </w:r>
      <w:r w:rsidR="00A23CF4" w:rsidRPr="002517BF">
        <w:rPr>
          <w:b/>
        </w:rPr>
        <w:t>s</w:t>
      </w:r>
    </w:p>
    <w:sectPr w:rsidR="00D00D5A" w:rsidRPr="002517BF"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41" w:rsidRDefault="00945741" w:rsidP="00A23CF4">
      <w:r>
        <w:separator/>
      </w:r>
    </w:p>
  </w:endnote>
  <w:endnote w:type="continuationSeparator" w:id="0">
    <w:p w:rsidR="00945741" w:rsidRDefault="00945741"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41" w:rsidRDefault="00945741" w:rsidP="00A23CF4">
      <w:r>
        <w:separator/>
      </w:r>
    </w:p>
  </w:footnote>
  <w:footnote w:type="continuationSeparator" w:id="0">
    <w:p w:rsidR="00945741" w:rsidRDefault="00945741"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AD22EA"/>
    <w:multiLevelType w:val="hybridMultilevel"/>
    <w:tmpl w:val="B1E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50583"/>
    <w:multiLevelType w:val="hybridMultilevel"/>
    <w:tmpl w:val="2404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40890"/>
    <w:multiLevelType w:val="hybridMultilevel"/>
    <w:tmpl w:val="424023FE"/>
    <w:lvl w:ilvl="0" w:tplc="495A996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3C501C08"/>
    <w:multiLevelType w:val="hybridMultilevel"/>
    <w:tmpl w:val="DD28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937C5"/>
    <w:multiLevelType w:val="hybridMultilevel"/>
    <w:tmpl w:val="C958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7C3B44B5"/>
    <w:multiLevelType w:val="hybridMultilevel"/>
    <w:tmpl w:val="2C46FC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
  </w:num>
  <w:num w:numId="3">
    <w:abstractNumId w:val="9"/>
  </w:num>
  <w:num w:numId="4">
    <w:abstractNumId w:val="0"/>
  </w:num>
  <w:num w:numId="5">
    <w:abstractNumId w:val="3"/>
  </w:num>
  <w:num w:numId="6">
    <w:abstractNumId w:val="2"/>
  </w:num>
  <w:num w:numId="7">
    <w:abstractNumId w:val="11"/>
  </w:num>
  <w:num w:numId="8">
    <w:abstractNumId w:val="5"/>
  </w:num>
  <w:num w:numId="9">
    <w:abstractNumId w:val="7"/>
  </w:num>
  <w:num w:numId="10">
    <w:abstractNumId w:val="6"/>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D40A7"/>
    <w:rsid w:val="002272D6"/>
    <w:rsid w:val="002517BF"/>
    <w:rsid w:val="002A0934"/>
    <w:rsid w:val="0037183C"/>
    <w:rsid w:val="00390D93"/>
    <w:rsid w:val="00420EAA"/>
    <w:rsid w:val="00472C84"/>
    <w:rsid w:val="0047494A"/>
    <w:rsid w:val="004C0DC1"/>
    <w:rsid w:val="00523078"/>
    <w:rsid w:val="0055463E"/>
    <w:rsid w:val="00637CB2"/>
    <w:rsid w:val="006544AE"/>
    <w:rsid w:val="007512B0"/>
    <w:rsid w:val="007F191C"/>
    <w:rsid w:val="007F5D75"/>
    <w:rsid w:val="0080040D"/>
    <w:rsid w:val="008352BF"/>
    <w:rsid w:val="008D00AA"/>
    <w:rsid w:val="00913630"/>
    <w:rsid w:val="00945741"/>
    <w:rsid w:val="009E4B06"/>
    <w:rsid w:val="00A23CF4"/>
    <w:rsid w:val="00A452A9"/>
    <w:rsid w:val="00AF7781"/>
    <w:rsid w:val="00B37F6B"/>
    <w:rsid w:val="00B62028"/>
    <w:rsid w:val="00B6521C"/>
    <w:rsid w:val="00B8026D"/>
    <w:rsid w:val="00BA0858"/>
    <w:rsid w:val="00C61A88"/>
    <w:rsid w:val="00D00D5A"/>
    <w:rsid w:val="00D1564A"/>
    <w:rsid w:val="00D72DF0"/>
    <w:rsid w:val="00DE1F9C"/>
    <w:rsid w:val="00E0611D"/>
    <w:rsid w:val="00E66DF7"/>
    <w:rsid w:val="00EA7CAD"/>
    <w:rsid w:val="00F43C2A"/>
    <w:rsid w:val="00F646DA"/>
    <w:rsid w:val="00FA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390D93"/>
    <w:pPr>
      <w:ind w:left="720"/>
      <w:contextualSpacing/>
    </w:pPr>
  </w:style>
  <w:style w:type="character" w:styleId="Hyperlink">
    <w:name w:val="Hyperlink"/>
    <w:basedOn w:val="DefaultParagraphFont"/>
    <w:uiPriority w:val="99"/>
    <w:semiHidden/>
    <w:unhideWhenUsed/>
    <w:rsid w:val="00EA7C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Samantha</cp:lastModifiedBy>
  <cp:revision>5</cp:revision>
  <dcterms:created xsi:type="dcterms:W3CDTF">2012-12-09T19:12:00Z</dcterms:created>
  <dcterms:modified xsi:type="dcterms:W3CDTF">2012-12-10T01:34:00Z</dcterms:modified>
</cp:coreProperties>
</file>